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179A6" w14:textId="6AA00326" w:rsidR="00FB3CE0" w:rsidRDefault="00FB3CE0" w:rsidP="00FB3CE0">
      <w:pPr>
        <w:tabs>
          <w:tab w:val="left" w:pos="2970"/>
        </w:tabs>
        <w:jc w:val="center"/>
        <w:rPr>
          <w:rFonts w:ascii="Palatino Linotype" w:hAnsi="Palatino Linotype"/>
          <w:b/>
          <w:bCs/>
          <w:color w:val="000000"/>
          <w:sz w:val="24"/>
          <w:szCs w:val="24"/>
        </w:rPr>
      </w:pPr>
      <w:bookmarkStart w:id="0" w:name="_Hlk40077313"/>
      <w:r w:rsidRPr="00584E1D">
        <w:rPr>
          <w:noProof/>
        </w:rPr>
        <w:drawing>
          <wp:anchor distT="0" distB="0" distL="114300" distR="114300" simplePos="0" relativeHeight="251659264" behindDoc="0" locked="0" layoutInCell="1" allowOverlap="1" wp14:anchorId="1E5C701E" wp14:editId="53768DCD">
            <wp:simplePos x="0" y="0"/>
            <wp:positionH relativeFrom="column">
              <wp:posOffset>-12700</wp:posOffset>
            </wp:positionH>
            <wp:positionV relativeFrom="paragraph">
              <wp:posOffset>-480695</wp:posOffset>
            </wp:positionV>
            <wp:extent cx="1881505" cy="7620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1505" cy="762000"/>
                    </a:xfrm>
                    <a:prstGeom prst="rect">
                      <a:avLst/>
                    </a:prstGeom>
                    <a:noFill/>
                    <a:ln>
                      <a:noFill/>
                    </a:ln>
                  </pic:spPr>
                </pic:pic>
              </a:graphicData>
            </a:graphic>
          </wp:anchor>
        </w:drawing>
      </w:r>
      <w:r w:rsidRPr="00584E1D">
        <w:rPr>
          <w:noProof/>
        </w:rPr>
        <w:drawing>
          <wp:anchor distT="0" distB="0" distL="114300" distR="114300" simplePos="0" relativeHeight="251660288" behindDoc="0" locked="0" layoutInCell="1" allowOverlap="1" wp14:anchorId="25DBCE17" wp14:editId="116B10F7">
            <wp:simplePos x="0" y="0"/>
            <wp:positionH relativeFrom="column">
              <wp:posOffset>4315460</wp:posOffset>
            </wp:positionH>
            <wp:positionV relativeFrom="paragraph">
              <wp:posOffset>-916940</wp:posOffset>
            </wp:positionV>
            <wp:extent cx="1636395" cy="15525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36395"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04D834" w14:textId="77777777" w:rsidR="00FB3CE0" w:rsidRDefault="00FB3CE0" w:rsidP="00FB3CE0">
      <w:pPr>
        <w:tabs>
          <w:tab w:val="left" w:pos="2970"/>
        </w:tabs>
        <w:jc w:val="center"/>
        <w:rPr>
          <w:rFonts w:ascii="Palatino Linotype" w:hAnsi="Palatino Linotype"/>
          <w:b/>
          <w:bCs/>
          <w:color w:val="000000"/>
          <w:sz w:val="24"/>
          <w:szCs w:val="24"/>
        </w:rPr>
      </w:pPr>
    </w:p>
    <w:p w14:paraId="70EF7076" w14:textId="77777777" w:rsidR="00FB3CE0" w:rsidRDefault="00FB3CE0" w:rsidP="00FB3CE0">
      <w:pPr>
        <w:tabs>
          <w:tab w:val="left" w:pos="2970"/>
        </w:tabs>
        <w:jc w:val="center"/>
        <w:rPr>
          <w:rFonts w:ascii="Palatino Linotype" w:hAnsi="Palatino Linotype"/>
          <w:b/>
          <w:bCs/>
          <w:color w:val="000000"/>
          <w:sz w:val="24"/>
          <w:szCs w:val="24"/>
        </w:rPr>
      </w:pPr>
    </w:p>
    <w:p w14:paraId="68C76839" w14:textId="062AC28D" w:rsidR="00FB3CE0" w:rsidRDefault="00FB3CE0" w:rsidP="00FB3CE0">
      <w:pPr>
        <w:tabs>
          <w:tab w:val="left" w:pos="2970"/>
        </w:tabs>
        <w:jc w:val="center"/>
        <w:rPr>
          <w:rFonts w:ascii="Palatino Linotype" w:hAnsi="Palatino Linotype"/>
          <w:b/>
          <w:bCs/>
          <w:color w:val="000000"/>
          <w:sz w:val="24"/>
          <w:szCs w:val="24"/>
        </w:rPr>
      </w:pPr>
      <w:r w:rsidRPr="008E6ED6">
        <w:rPr>
          <w:rFonts w:ascii="Palatino Linotype" w:hAnsi="Palatino Linotype"/>
          <w:b/>
          <w:bCs/>
          <w:color w:val="000000"/>
          <w:sz w:val="24"/>
          <w:szCs w:val="24"/>
        </w:rPr>
        <w:t>GBAC STAR™ Facility Accreditation Program</w:t>
      </w:r>
    </w:p>
    <w:p w14:paraId="31763CDE" w14:textId="7825ABE5" w:rsidR="00FB3CE0" w:rsidRDefault="00FB3CE0" w:rsidP="00FB3CE0">
      <w:pPr>
        <w:tabs>
          <w:tab w:val="left" w:pos="2970"/>
        </w:tabs>
        <w:jc w:val="center"/>
        <w:rPr>
          <w:rFonts w:ascii="Palatino Linotype" w:hAnsi="Palatino Linotype"/>
          <w:b/>
          <w:bCs/>
          <w:color w:val="000000"/>
          <w:sz w:val="24"/>
          <w:szCs w:val="24"/>
        </w:rPr>
      </w:pPr>
      <w:r>
        <w:rPr>
          <w:rFonts w:ascii="Palatino Linotype" w:hAnsi="Palatino Linotype"/>
          <w:b/>
          <w:bCs/>
          <w:color w:val="000000"/>
          <w:sz w:val="24"/>
          <w:szCs w:val="24"/>
        </w:rPr>
        <w:t>Boilerplates</w:t>
      </w:r>
    </w:p>
    <w:bookmarkEnd w:id="0"/>
    <w:p w14:paraId="024D39FD" w14:textId="2A04DF29" w:rsidR="005B49E4" w:rsidRDefault="005B49E4" w:rsidP="005B49E4">
      <w:pPr>
        <w:tabs>
          <w:tab w:val="left" w:pos="2970"/>
        </w:tabs>
      </w:pPr>
    </w:p>
    <w:p w14:paraId="0B7E3325" w14:textId="77777777" w:rsidR="005B49E4" w:rsidRPr="00AC3B7C" w:rsidRDefault="005B49E4" w:rsidP="005B49E4">
      <w:pPr>
        <w:spacing w:after="0"/>
        <w:rPr>
          <w:rFonts w:ascii="Palatino Linotype" w:hAnsi="Palatino Linotype"/>
        </w:rPr>
      </w:pPr>
      <w:r w:rsidRPr="00FB3CE0">
        <w:rPr>
          <w:rFonts w:ascii="Gotham Medium" w:hAnsi="Gotham Medium"/>
        </w:rPr>
        <w:t>About GBAC, a Division of ISSA</w:t>
      </w:r>
      <w:r w:rsidRPr="00AC3B7C">
        <w:rPr>
          <w:rFonts w:ascii="Palatino Linotype" w:hAnsi="Palatino Linotype"/>
          <w:b/>
          <w:bCs/>
        </w:rPr>
        <w:t xml:space="preserve"> </w:t>
      </w:r>
      <w:r w:rsidRPr="00AC3B7C">
        <w:rPr>
          <w:rFonts w:ascii="Palatino Linotype" w:hAnsi="Palatino Linotype"/>
        </w:rPr>
        <w:br/>
      </w:r>
      <w:r w:rsidRPr="00DA54CC">
        <w:rPr>
          <w:rFonts w:ascii="Palatino Linotype" w:hAnsi="Palatino Linotype"/>
        </w:rPr>
        <w:t xml:space="preserve">Composed of international leaders in the field of microbial-pathogenic threat analysis, mitigation, response, and recovery, the Global </w:t>
      </w:r>
      <w:proofErr w:type="spellStart"/>
      <w:r w:rsidRPr="00DA54CC">
        <w:rPr>
          <w:rFonts w:ascii="Palatino Linotype" w:hAnsi="Palatino Linotype"/>
        </w:rPr>
        <w:t>Biorisk</w:t>
      </w:r>
      <w:proofErr w:type="spellEnd"/>
      <w:r w:rsidRPr="00DA54CC">
        <w:rPr>
          <w:rFonts w:ascii="Palatino Linotype" w:hAnsi="Palatino Linotype"/>
        </w:rPr>
        <w:t xml:space="preserve"> Advisory Council (GBAC), a Division of ISSA, provides training, guidance, accreditation, certification, crisis management assistance, and leadership to government, commercial and private entities looking to mitigate, quickly address, and/or recover from biological threats and real-time crises. The organization’s services include </w:t>
      </w:r>
      <w:proofErr w:type="spellStart"/>
      <w:r w:rsidRPr="00DA54CC">
        <w:rPr>
          <w:rFonts w:ascii="Palatino Linotype" w:hAnsi="Palatino Linotype"/>
        </w:rPr>
        <w:t>biorisk</w:t>
      </w:r>
      <w:proofErr w:type="spellEnd"/>
      <w:r w:rsidRPr="00DA54CC">
        <w:rPr>
          <w:rFonts w:ascii="Palatino Linotype" w:hAnsi="Palatino Linotype"/>
        </w:rPr>
        <w:t xml:space="preserve"> management program assessment and training, Forensic Restoration</w:t>
      </w:r>
      <w:r w:rsidRPr="00E548A7">
        <w:rPr>
          <w:rFonts w:ascii="Palatino Linotype" w:hAnsi="Palatino Linotype"/>
          <w:vertAlign w:val="superscript"/>
        </w:rPr>
        <w:t>®</w:t>
      </w:r>
      <w:r w:rsidRPr="00DA54CC">
        <w:rPr>
          <w:rFonts w:ascii="Palatino Linotype" w:hAnsi="Palatino Linotype"/>
        </w:rPr>
        <w:t xml:space="preserve"> response and remediation, the GBAC STAR™ facility accreditation program, training and certification of individuals, and consulting for building owners and facility managers. For more information, visit </w:t>
      </w:r>
      <w:hyperlink r:id="rId8" w:history="1">
        <w:r w:rsidRPr="00916102">
          <w:rPr>
            <w:rStyle w:val="Hyperlink"/>
            <w:rFonts w:ascii="Palatino Linotype" w:hAnsi="Palatino Linotype"/>
          </w:rPr>
          <w:t>www.gbac.org</w:t>
        </w:r>
      </w:hyperlink>
      <w:r w:rsidRPr="00DA54CC">
        <w:rPr>
          <w:rFonts w:ascii="Palatino Linotype" w:hAnsi="Palatino Linotype"/>
        </w:rPr>
        <w:t>.</w:t>
      </w:r>
    </w:p>
    <w:p w14:paraId="037CB763" w14:textId="77777777" w:rsidR="005B49E4" w:rsidRPr="00AC3B7C" w:rsidRDefault="005B49E4" w:rsidP="005B49E4">
      <w:pPr>
        <w:spacing w:after="0"/>
        <w:rPr>
          <w:rFonts w:ascii="Palatino Linotype" w:hAnsi="Palatino Linotype"/>
          <w:i/>
          <w:iCs/>
        </w:rPr>
      </w:pPr>
    </w:p>
    <w:p w14:paraId="6293F321" w14:textId="77777777" w:rsidR="005B49E4" w:rsidRDefault="005B49E4" w:rsidP="005B49E4">
      <w:pPr>
        <w:spacing w:after="0"/>
        <w:rPr>
          <w:rFonts w:ascii="Palatino Linotype" w:hAnsi="Palatino Linotype"/>
        </w:rPr>
      </w:pPr>
      <w:r w:rsidRPr="00FB3CE0">
        <w:rPr>
          <w:rFonts w:ascii="Gotham Medium" w:hAnsi="Gotham Medium"/>
        </w:rPr>
        <w:t>About ISSA</w:t>
      </w:r>
      <w:r w:rsidRPr="0091717F">
        <w:rPr>
          <w:rFonts w:ascii="Palatino Linotype" w:hAnsi="Palatino Linotype"/>
        </w:rPr>
        <w:t xml:space="preserve"> </w:t>
      </w:r>
      <w:r w:rsidRPr="0091717F">
        <w:rPr>
          <w:rFonts w:ascii="Palatino Linotype" w:hAnsi="Palatino Linotype"/>
        </w:rPr>
        <w:br/>
        <w:t xml:space="preserve">With more than 9,300 members—including distributors, manufacturers, manufacturer representatives, wholesalers, building service contractors, in-house service providers, residential cleaners, and associated service members—ISSA is the world’s leading trade association for the cleaning industry. The association is committed to changing the way the world views cleaning by providing its members with the business tools they need to promote cleaning as an investment in human health, the environment, and an improved bottom line. Headquartered in Northbrook, Ill., USA, the association has regional offices in </w:t>
      </w:r>
      <w:r w:rsidRPr="0091717F">
        <w:rPr>
          <w:rFonts w:ascii="Palatino Linotype" w:hAnsi="Palatino Linotype"/>
          <w:spacing w:val="-2"/>
        </w:rPr>
        <w:t>Mainz, Germany</w:t>
      </w:r>
      <w:r w:rsidRPr="0091717F">
        <w:rPr>
          <w:rFonts w:ascii="Palatino Linotype" w:hAnsi="Palatino Linotype"/>
        </w:rPr>
        <w:t xml:space="preserve">; Whitby, Canada; Parramatta, Australia; Seoul, South Korea; and Shanghai, China. For more information about ISSA, visit </w:t>
      </w:r>
      <w:hyperlink r:id="rId9" w:history="1">
        <w:r w:rsidRPr="0091717F">
          <w:rPr>
            <w:rStyle w:val="Hyperlink"/>
            <w:rFonts w:ascii="Palatino Linotype" w:hAnsi="Palatino Linotype"/>
          </w:rPr>
          <w:t>www.issa.com</w:t>
        </w:r>
      </w:hyperlink>
      <w:r w:rsidRPr="0091717F">
        <w:rPr>
          <w:rFonts w:ascii="Palatino Linotype" w:hAnsi="Palatino Linotype"/>
        </w:rPr>
        <w:t xml:space="preserve"> or call 800-225-4772 (North America) or 847-982- 0800.</w:t>
      </w:r>
      <w:r w:rsidRPr="00AC3B7C">
        <w:rPr>
          <w:rFonts w:ascii="Palatino Linotype" w:hAnsi="Palatino Linotype"/>
        </w:rPr>
        <w:t xml:space="preserve"> </w:t>
      </w:r>
    </w:p>
    <w:p w14:paraId="17F2046F" w14:textId="77777777" w:rsidR="005B49E4" w:rsidRDefault="005B49E4" w:rsidP="005B49E4">
      <w:pPr>
        <w:tabs>
          <w:tab w:val="left" w:pos="2970"/>
        </w:tabs>
      </w:pPr>
    </w:p>
    <w:sectPr w:rsidR="005B49E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82A8B" w14:textId="77777777" w:rsidR="007071CD" w:rsidRDefault="007071CD" w:rsidP="005B49E4">
      <w:pPr>
        <w:spacing w:after="0" w:line="240" w:lineRule="auto"/>
      </w:pPr>
      <w:r>
        <w:separator/>
      </w:r>
    </w:p>
  </w:endnote>
  <w:endnote w:type="continuationSeparator" w:id="0">
    <w:p w14:paraId="6A6800D9" w14:textId="77777777" w:rsidR="007071CD" w:rsidRDefault="007071CD" w:rsidP="005B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tham Medium">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1A97" w14:textId="77777777" w:rsidR="007F3347" w:rsidRDefault="007F3347" w:rsidP="007F3347">
    <w:pPr>
      <w:pStyle w:val="Footer"/>
      <w:jc w:val="right"/>
      <w:rPr>
        <w:rFonts w:ascii="Gotham Medium" w:hAnsi="Gotham Medium"/>
        <w:sz w:val="20"/>
        <w:szCs w:val="20"/>
      </w:rPr>
    </w:pPr>
  </w:p>
  <w:p w14:paraId="36C7D132" w14:textId="77777777" w:rsidR="007F3347" w:rsidRDefault="007F3347" w:rsidP="007F3347">
    <w:pPr>
      <w:pStyle w:val="Footer"/>
      <w:jc w:val="right"/>
      <w:rPr>
        <w:rFonts w:ascii="Gotham Medium" w:hAnsi="Gotham Medium"/>
        <w:sz w:val="20"/>
        <w:szCs w:val="20"/>
      </w:rPr>
    </w:pPr>
    <w:r w:rsidRPr="009857BA">
      <w:rPr>
        <w:rFonts w:ascii="Gotham Medium" w:hAnsi="Gotham Medium"/>
        <w:sz w:val="20"/>
        <w:szCs w:val="20"/>
      </w:rPr>
      <w:t xml:space="preserve">Global </w:t>
    </w:r>
    <w:proofErr w:type="spellStart"/>
    <w:r w:rsidRPr="009857BA">
      <w:rPr>
        <w:rFonts w:ascii="Gotham Medium" w:hAnsi="Gotham Medium"/>
        <w:sz w:val="20"/>
        <w:szCs w:val="20"/>
      </w:rPr>
      <w:t>Biorisk</w:t>
    </w:r>
    <w:proofErr w:type="spellEnd"/>
    <w:r>
      <w:rPr>
        <w:rFonts w:ascii="Gotham Medium" w:hAnsi="Gotham Medium"/>
        <w:sz w:val="20"/>
        <w:szCs w:val="20"/>
      </w:rPr>
      <w:t xml:space="preserve"> Advisory Council</w:t>
    </w:r>
  </w:p>
  <w:p w14:paraId="2AB149CD" w14:textId="77777777" w:rsidR="007F3347" w:rsidRDefault="007F3347" w:rsidP="007F3347">
    <w:pPr>
      <w:pStyle w:val="Footer"/>
      <w:jc w:val="right"/>
      <w:rPr>
        <w:sz w:val="20"/>
        <w:szCs w:val="20"/>
      </w:rPr>
    </w:pPr>
    <w:r>
      <w:rPr>
        <w:sz w:val="20"/>
        <w:szCs w:val="20"/>
      </w:rPr>
      <w:t>800-225-4772 (North America)</w:t>
    </w:r>
  </w:p>
  <w:p w14:paraId="6E6900C1" w14:textId="77777777" w:rsidR="007F3347" w:rsidRDefault="007F3347" w:rsidP="007F3347">
    <w:pPr>
      <w:pStyle w:val="Footer"/>
      <w:jc w:val="right"/>
      <w:rPr>
        <w:sz w:val="20"/>
        <w:szCs w:val="20"/>
      </w:rPr>
    </w:pPr>
    <w:r>
      <w:rPr>
        <w:sz w:val="20"/>
        <w:szCs w:val="20"/>
      </w:rPr>
      <w:t>847-982-0800</w:t>
    </w:r>
  </w:p>
  <w:p w14:paraId="4D4EF0A9" w14:textId="77777777" w:rsidR="007F3347" w:rsidRPr="009857BA" w:rsidRDefault="007071CD" w:rsidP="007F3347">
    <w:pPr>
      <w:pStyle w:val="Footer"/>
      <w:jc w:val="right"/>
      <w:rPr>
        <w:sz w:val="20"/>
        <w:szCs w:val="20"/>
      </w:rPr>
    </w:pPr>
    <w:hyperlink r:id="rId1" w:history="1">
      <w:r w:rsidR="007F3347" w:rsidRPr="009857BA">
        <w:rPr>
          <w:rStyle w:val="Hyperlink"/>
          <w:sz w:val="20"/>
          <w:szCs w:val="20"/>
        </w:rPr>
        <w:t>gbac.org</w:t>
      </w:r>
    </w:hyperlink>
  </w:p>
  <w:p w14:paraId="22169272" w14:textId="77777777" w:rsidR="007F3347" w:rsidRDefault="007F3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4B8EE" w14:textId="77777777" w:rsidR="007071CD" w:rsidRDefault="007071CD" w:rsidP="005B49E4">
      <w:pPr>
        <w:spacing w:after="0" w:line="240" w:lineRule="auto"/>
      </w:pPr>
      <w:r>
        <w:separator/>
      </w:r>
    </w:p>
  </w:footnote>
  <w:footnote w:type="continuationSeparator" w:id="0">
    <w:p w14:paraId="17A474A7" w14:textId="77777777" w:rsidR="007071CD" w:rsidRDefault="007071CD" w:rsidP="005B4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E4"/>
    <w:rsid w:val="003F6DD6"/>
    <w:rsid w:val="00512232"/>
    <w:rsid w:val="00584E1D"/>
    <w:rsid w:val="005B49E4"/>
    <w:rsid w:val="007071CD"/>
    <w:rsid w:val="007E2C42"/>
    <w:rsid w:val="007F3347"/>
    <w:rsid w:val="008E4EE8"/>
    <w:rsid w:val="008E6ED6"/>
    <w:rsid w:val="009D7081"/>
    <w:rsid w:val="00AA7FBF"/>
    <w:rsid w:val="00CD0F56"/>
    <w:rsid w:val="00CD7759"/>
    <w:rsid w:val="00EE6B73"/>
    <w:rsid w:val="00FB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4896"/>
  <w15:chartTrackingRefBased/>
  <w15:docId w15:val="{229A2251-302B-4F06-B919-13F667CB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9E4"/>
  </w:style>
  <w:style w:type="paragraph" w:styleId="Footer">
    <w:name w:val="footer"/>
    <w:basedOn w:val="Normal"/>
    <w:link w:val="FooterChar"/>
    <w:uiPriority w:val="99"/>
    <w:unhideWhenUsed/>
    <w:rsid w:val="005B4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9E4"/>
  </w:style>
  <w:style w:type="character" w:styleId="Hyperlink">
    <w:name w:val="Hyperlink"/>
    <w:basedOn w:val="DefaultParagraphFont"/>
    <w:uiPriority w:val="99"/>
    <w:unhideWhenUsed/>
    <w:rsid w:val="005B4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ac.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ss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gb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Weiss</dc:creator>
  <cp:keywords/>
  <dc:description/>
  <cp:lastModifiedBy>Alex Weiss</cp:lastModifiedBy>
  <cp:revision>7</cp:revision>
  <dcterms:created xsi:type="dcterms:W3CDTF">2020-05-11T13:11:00Z</dcterms:created>
  <dcterms:modified xsi:type="dcterms:W3CDTF">2020-05-14T15:53:00Z</dcterms:modified>
</cp:coreProperties>
</file>